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Zwykatabela4"/>
        <w:tblW w:w="10632" w:type="dxa"/>
        <w:tblLayout w:type="fixed"/>
        <w:tblLook w:val="06A0" w:firstRow="1" w:lastRow="0" w:firstColumn="1" w:lastColumn="0" w:noHBand="1" w:noVBand="1"/>
      </w:tblPr>
      <w:tblGrid>
        <w:gridCol w:w="4111"/>
        <w:gridCol w:w="6521"/>
      </w:tblGrid>
      <w:tr w:rsidR="001027F8" w:rsidRPr="00AA444F" w14:paraId="3044D03E" w14:textId="77777777" w:rsidTr="00AA4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280B5506" w14:textId="28DCFC6A" w:rsidR="001027F8" w:rsidRPr="00AA444F" w:rsidRDefault="00DE5F5D" w:rsidP="001027F8">
            <w:pPr>
              <w:rPr>
                <w:rFonts w:ascii="Arial" w:eastAsia="Arial" w:hAnsi="Arial" w:cs="Arial"/>
                <w:color w:val="92D05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CC47E6" wp14:editId="038E40B9">
                  <wp:extent cx="2303145" cy="617071"/>
                  <wp:effectExtent l="0" t="0" r="1905" b="0"/>
                  <wp:docPr id="1" name="Obraz 1" descr="KONKURS NA LOGO PROJEKTU ERASMUS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KURS NA LOGO PROJEKTU ERASMUS+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5" t="30690" b="37026"/>
                          <a:stretch/>
                        </pic:blipFill>
                        <pic:spPr bwMode="auto">
                          <a:xfrm>
                            <a:off x="0" y="0"/>
                            <a:ext cx="2334897" cy="62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55C98D76" w14:textId="14700789" w:rsidR="001027F8" w:rsidRPr="00AA444F" w:rsidRDefault="00DE5F5D" w:rsidP="008E6385">
            <w:pPr>
              <w:ind w:left="283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404040" w:themeColor="text1" w:themeTint="BF"/>
              </w:rPr>
            </w:pPr>
            <w:r w:rsidRPr="00AA444F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8DDDAB4" wp14:editId="621BED40">
                  <wp:extent cx="1895475" cy="361950"/>
                  <wp:effectExtent l="0" t="0" r="0" b="0"/>
                  <wp:docPr id="466268692" name="Obraz 46626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80C03" w14:textId="77777777" w:rsidR="00AC6E0B" w:rsidRDefault="00AC6E0B" w:rsidP="008E6385">
      <w:pPr>
        <w:pStyle w:val="NormalnyWeb"/>
        <w:rPr>
          <w:b/>
          <w:sz w:val="28"/>
          <w:szCs w:val="28"/>
        </w:rPr>
      </w:pPr>
    </w:p>
    <w:p w14:paraId="57109584" w14:textId="754F5761" w:rsidR="00DE5F5D" w:rsidRPr="008B7947" w:rsidRDefault="00DE5F5D" w:rsidP="00DE5F5D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7947">
        <w:rPr>
          <w:rFonts w:asciiTheme="minorHAnsi" w:hAnsiTheme="minorHAnsi" w:cstheme="minorHAnsi"/>
          <w:b/>
          <w:sz w:val="28"/>
          <w:szCs w:val="28"/>
        </w:rPr>
        <w:t>Regulamin zagranicznych wyjazdów pracowników dydaktycznych w celu prowadzenia zajęć dydaktycznych (STA) w ramach programu Erasmus+</w:t>
      </w:r>
    </w:p>
    <w:p w14:paraId="4B4484A5" w14:textId="4BD516A4" w:rsidR="008E6385" w:rsidRPr="008B7947" w:rsidRDefault="00DE5F5D" w:rsidP="00D67063">
      <w:pPr>
        <w:pStyle w:val="NormalnyWeb"/>
        <w:jc w:val="center"/>
        <w:rPr>
          <w:rFonts w:asciiTheme="minorHAnsi" w:hAnsiTheme="minorHAnsi" w:cstheme="minorHAnsi"/>
          <w:b/>
        </w:rPr>
      </w:pPr>
      <w:r w:rsidRPr="008B7947">
        <w:rPr>
          <w:rFonts w:asciiTheme="minorHAnsi" w:hAnsiTheme="minorHAnsi" w:cstheme="minorHAnsi"/>
          <w:b/>
        </w:rPr>
        <w:t>Akcja 1 - mobilność z Państwami członkowskimi UE i Państwami trzecimi stowarzyszonymi z Programem oraz Państwami trzecimi niestowarzyszonymi z Programem</w:t>
      </w:r>
    </w:p>
    <w:p w14:paraId="48D279CE" w14:textId="77777777" w:rsidR="00D67063" w:rsidRPr="008B7947" w:rsidRDefault="00D67063" w:rsidP="00D67063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28378D5E" w14:textId="77777777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§ 1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76371C79" w14:textId="07302628" w:rsidR="008E6385" w:rsidRPr="008B7947" w:rsidRDefault="008E6385" w:rsidP="00D6706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Regulamin określa podstawowe zasady dotyczące zagranicznych wyjazdów pracowników dydaktycznych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 xml:space="preserve">WSEI w Krakowie </w:t>
      </w:r>
      <w:r w:rsidRPr="008B7947">
        <w:rPr>
          <w:rFonts w:eastAsia="Times New Roman" w:cstheme="minorHAnsi"/>
          <w:sz w:val="20"/>
          <w:szCs w:val="20"/>
          <w:lang w:eastAsia="pl-PL"/>
        </w:rPr>
        <w:t>w celu prowadzenia zajęć dydaktycznych, w tym procedurę wyboru kandydatów, wymagania formalne oraz zasady realizacji i finansowania wyjazdów. </w:t>
      </w:r>
    </w:p>
    <w:p w14:paraId="3B4C392E" w14:textId="77777777" w:rsidR="008E6385" w:rsidRPr="008B7947" w:rsidRDefault="008E6385" w:rsidP="00D67063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Skróty i pojęcia używane w niniejszym regulaminie mają następujące znaczenie: </w:t>
      </w:r>
    </w:p>
    <w:p w14:paraId="763A70D9" w14:textId="77777777" w:rsidR="008E6385" w:rsidRPr="008B7947" w:rsidRDefault="008E6385" w:rsidP="00D67063">
      <w:pPr>
        <w:numPr>
          <w:ilvl w:val="0"/>
          <w:numId w:val="3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STA – </w:t>
      </w:r>
      <w:r w:rsidRPr="008B7947">
        <w:rPr>
          <w:rFonts w:eastAsia="Times New Roman" w:cstheme="minorHAnsi"/>
          <w:i/>
          <w:iCs/>
          <w:sz w:val="20"/>
          <w:szCs w:val="20"/>
          <w:lang w:eastAsia="pl-PL"/>
        </w:rPr>
        <w:t>Staff Mobility for Teaching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– część programu Erasmus+ umożliwiająca wyjazd pracownikowi dydaktycznemu w celu prowadzenia zajęć dydaktycznych do partnerskiej uczelni zagranicznej; </w:t>
      </w:r>
    </w:p>
    <w:p w14:paraId="3B083E8D" w14:textId="030E68C0" w:rsidR="008E6385" w:rsidRPr="008B7947" w:rsidRDefault="008E6385" w:rsidP="00D67063">
      <w:pPr>
        <w:numPr>
          <w:ilvl w:val="0"/>
          <w:numId w:val="4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umowa finansowa – umowa zawierana pomiędzy pracownikiem a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>, określająca zasady realizacji wyjazdu, wysokość stypendium, czas trwania mobilności, itp.; </w:t>
      </w:r>
    </w:p>
    <w:p w14:paraId="46547BAB" w14:textId="77777777" w:rsidR="008E6385" w:rsidRPr="008B7947" w:rsidRDefault="008E6385" w:rsidP="00D67063">
      <w:pPr>
        <w:numPr>
          <w:ilvl w:val="0"/>
          <w:numId w:val="5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NA – Narodowa Agencja Programu Erasmus+; </w:t>
      </w:r>
    </w:p>
    <w:p w14:paraId="32191DCC" w14:textId="1B683E4C" w:rsidR="008E6385" w:rsidRPr="008B7947" w:rsidRDefault="00426F10" w:rsidP="00D67063">
      <w:pPr>
        <w:numPr>
          <w:ilvl w:val="0"/>
          <w:numId w:val="6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BWM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 xml:space="preserve"> – </w:t>
      </w:r>
      <w:r w:rsidRPr="008B7947">
        <w:rPr>
          <w:rFonts w:eastAsia="Times New Roman" w:cstheme="minorHAnsi"/>
          <w:sz w:val="20"/>
          <w:szCs w:val="20"/>
          <w:lang w:eastAsia="pl-PL"/>
        </w:rPr>
        <w:t>Biuro Współpracy Międzynarodowej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; </w:t>
      </w:r>
    </w:p>
    <w:p w14:paraId="0898EA50" w14:textId="77777777" w:rsidR="008E6385" w:rsidRPr="008B7947" w:rsidRDefault="008E6385" w:rsidP="00D67063">
      <w:pPr>
        <w:numPr>
          <w:ilvl w:val="0"/>
          <w:numId w:val="7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i/>
          <w:iCs/>
          <w:sz w:val="20"/>
          <w:szCs w:val="20"/>
          <w:lang w:eastAsia="pl-PL"/>
        </w:rPr>
        <w:t>Staff Mobility for Teaching – Mobility Agreement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– umowa zawierająca program wykładów;  </w:t>
      </w:r>
    </w:p>
    <w:p w14:paraId="6D61B250" w14:textId="77777777" w:rsidR="008E6385" w:rsidRPr="008B7947" w:rsidRDefault="008E6385" w:rsidP="00D67063">
      <w:pPr>
        <w:numPr>
          <w:ilvl w:val="0"/>
          <w:numId w:val="8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Państwa członkowskie UE i Państwa trzecie stowarzyszone z Programem – Państwa UE oraz członkowie Europejskiego Stowarzyszenia Wolnego Handlu (EFTA), będący członkami Europejskiego Obszaru Gospodarczego (EOG): Norwegia, Islandia i Liechtenstein, a także kraje przystępujące, kraje kandydujące i potencjalne kraje kandydujące: Republika Macedonii Północnej, Republika Turcji i Republika Serbii; </w:t>
      </w:r>
    </w:p>
    <w:p w14:paraId="58028A31" w14:textId="720A5449" w:rsidR="008E6385" w:rsidRPr="008B7947" w:rsidRDefault="008E6385" w:rsidP="00D67063">
      <w:pPr>
        <w:numPr>
          <w:ilvl w:val="0"/>
          <w:numId w:val="9"/>
        </w:numPr>
        <w:spacing w:after="0" w:line="240" w:lineRule="auto"/>
        <w:ind w:left="705" w:firstLine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Państwa trzecie niestowarzyszone z Programem – kraje inne niż Państwa członkowskie UE i Państwa trzecie stowarzyszone z Programem. </w:t>
      </w:r>
    </w:p>
    <w:p w14:paraId="11506A89" w14:textId="77777777" w:rsidR="00426F10" w:rsidRPr="008B7947" w:rsidRDefault="00426F10" w:rsidP="00426F10">
      <w:pPr>
        <w:spacing w:after="0" w:line="240" w:lineRule="auto"/>
        <w:ind w:left="705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747C5FA0" w14:textId="36998CE0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Informacje ogólne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3BBE35E8" w14:textId="77777777" w:rsidR="00D67063" w:rsidRPr="008B7947" w:rsidRDefault="00D67063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626D778E" w14:textId="77777777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§ 2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4606D5CF" w14:textId="77777777" w:rsidR="00426F10" w:rsidRPr="008B7947" w:rsidRDefault="008E6385" w:rsidP="008E6385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działaniach STA mogą uczestniczyć pracownicy dydaktyczni (zwani dalej Pracownikami)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. Pierwszeństwo </w:t>
      </w:r>
    </w:p>
    <w:p w14:paraId="1C907B4C" w14:textId="750038D5" w:rsidR="008E6385" w:rsidRPr="008B7947" w:rsidRDefault="008E6385" w:rsidP="008E6385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 kwalifikacji do wyjazdów mają pracownicy zatrudnieni na podstawie stosunku pracy.  </w:t>
      </w:r>
    </w:p>
    <w:p w14:paraId="24913D70" w14:textId="77777777" w:rsidR="00D67063" w:rsidRPr="008B7947" w:rsidRDefault="00D67063" w:rsidP="008E6385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6DD6DDFC" w14:textId="77777777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§ 3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670F0268" w14:textId="37E0EDF8" w:rsidR="008E6385" w:rsidRPr="008B7947" w:rsidRDefault="008E6385" w:rsidP="00D67063">
      <w:pPr>
        <w:numPr>
          <w:ilvl w:val="0"/>
          <w:numId w:val="10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 przypadku realizowania wyjazdów do Państw członkowskich UE i Państw trzecich stowarzyszonych z Programem</w:t>
      </w: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wyjazd pracownika może być realizowany w jednej z uczelni partnerskich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>. L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ista uczelni dostępna jest w BWM</w:t>
      </w:r>
      <w:r w:rsidRPr="008B7947">
        <w:rPr>
          <w:rFonts w:eastAsia="Times New Roman" w:cstheme="minorHAnsi"/>
          <w:sz w:val="20"/>
          <w:szCs w:val="20"/>
          <w:lang w:eastAsia="pl-PL"/>
        </w:rPr>
        <w:t>. </w:t>
      </w:r>
    </w:p>
    <w:p w14:paraId="45DC4558" w14:textId="45F20DDB" w:rsidR="008E6385" w:rsidRPr="008B7947" w:rsidRDefault="008E6385" w:rsidP="00D67063">
      <w:pPr>
        <w:numPr>
          <w:ilvl w:val="0"/>
          <w:numId w:val="11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przypadku realizowania wyjazdów do Państw trzecich niestowarzyszonych z Programem wyjazd może być realizowany w instytucji szkolnictwa wyższego, która podpisała umowę międzyinstytucjonalną z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w ramach prowadzonych w danym czasie projektów. </w:t>
      </w:r>
    </w:p>
    <w:p w14:paraId="2E5D1A96" w14:textId="681779F5" w:rsidR="008E6385" w:rsidRPr="008B7947" w:rsidRDefault="008E6385" w:rsidP="00D67063">
      <w:pPr>
        <w:numPr>
          <w:ilvl w:val="0"/>
          <w:numId w:val="12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Pracownik może ubiegać się o dwa wyjazdy w ramach działania STA w trakcie trwania danego projektu.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 xml:space="preserve"> Pracownik może ubiegać się o drugi dodatkowy wyjazd jeżeli BWM dysponuje dodatkowymi środkami finansowymi przeznaczonymi na tego rodzaju wyjazd.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44D1A942" w14:textId="77777777" w:rsidR="008E6385" w:rsidRPr="008B7947" w:rsidRDefault="008E6385" w:rsidP="00D67063">
      <w:pPr>
        <w:numPr>
          <w:ilvl w:val="0"/>
          <w:numId w:val="13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Wyjazdy pracowników w celu prowadzenia zajęć dydaktycznych do zagranicznych uczelni realizowane są przez czas trwania danego projektu, w zależności od posiadanych środków finansowych, jednak zakończyć się muszą najpóźniej ostatniego dnia trwania danego projektu. </w:t>
      </w:r>
    </w:p>
    <w:p w14:paraId="3A572EBB" w14:textId="77777777" w:rsidR="008E6385" w:rsidRPr="008B7947" w:rsidRDefault="008E6385" w:rsidP="00D67063">
      <w:pPr>
        <w:numPr>
          <w:ilvl w:val="0"/>
          <w:numId w:val="14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Pracownik wyjeżdżający w ramach działania STA zobowiązany jest do przeprowadzenia minimum 8 godzin zajęć dydaktycznych dla studentów instytucji przyjmującej. </w:t>
      </w:r>
    </w:p>
    <w:p w14:paraId="3DA88909" w14:textId="77777777" w:rsidR="008E6385" w:rsidRPr="008B7947" w:rsidRDefault="008E6385" w:rsidP="00D67063">
      <w:pPr>
        <w:numPr>
          <w:ilvl w:val="0"/>
          <w:numId w:val="15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Długość pobytu pracownika w zagranicznej instytucji przyjmującej, za który pracownik może otrzymać  stypendium, wynosi: </w:t>
      </w:r>
    </w:p>
    <w:p w14:paraId="059DF497" w14:textId="77777777" w:rsidR="008E6385" w:rsidRPr="008B7947" w:rsidRDefault="008E6385" w:rsidP="00D67063">
      <w:pPr>
        <w:numPr>
          <w:ilvl w:val="0"/>
          <w:numId w:val="16"/>
        </w:numPr>
        <w:spacing w:after="0" w:line="240" w:lineRule="auto"/>
        <w:ind w:left="84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lastRenderedPageBreak/>
        <w:t>Wyjazdy do Państw członkowskich UE i Państw trzecich stowarzyszonych z Programem: minimalna 2 dni,  </w:t>
      </w:r>
      <w:r w:rsidRPr="008B7947">
        <w:rPr>
          <w:rFonts w:eastAsia="Times New Roman" w:cstheme="minorHAnsi"/>
          <w:sz w:val="20"/>
          <w:szCs w:val="20"/>
          <w:lang w:eastAsia="pl-PL"/>
        </w:rPr>
        <w:br/>
        <w:t>a maksymalna 5 dni, bez względu na długość pobytu, który może trwać do 2 miesięcy; </w:t>
      </w:r>
    </w:p>
    <w:p w14:paraId="17BD01ED" w14:textId="5513C08B" w:rsidR="008E6385" w:rsidRPr="008B7947" w:rsidRDefault="008E6385" w:rsidP="00D67063">
      <w:pPr>
        <w:numPr>
          <w:ilvl w:val="0"/>
          <w:numId w:val="17"/>
        </w:numPr>
        <w:spacing w:after="0" w:line="240" w:lineRule="auto"/>
        <w:ind w:left="84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Wyjazdy do Państw trzecich niestowarzyszonych z Programem: minimalna 5 dni, a maksymalna 7 dni, bez względu na długość pobytu. </w:t>
      </w:r>
    </w:p>
    <w:p w14:paraId="71CE65DE" w14:textId="1626D988" w:rsidR="00426F10" w:rsidRPr="008B7947" w:rsidRDefault="00426F10" w:rsidP="00426F10">
      <w:pPr>
        <w:spacing w:after="0" w:line="240" w:lineRule="auto"/>
        <w:ind w:left="84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B73EED3" w14:textId="77777777" w:rsidR="00426F10" w:rsidRPr="008B7947" w:rsidRDefault="00426F10" w:rsidP="00426F10">
      <w:pPr>
        <w:spacing w:after="0" w:line="240" w:lineRule="auto"/>
        <w:ind w:left="84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48FF95FF" w14:textId="60D794E6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Procedura zgłoszenia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49782919" w14:textId="77777777" w:rsidR="00D67063" w:rsidRPr="008B7947" w:rsidRDefault="00D67063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102A3A9F" w14:textId="77777777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§ 4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3F179737" w14:textId="77777777" w:rsidR="008E6385" w:rsidRPr="008B7947" w:rsidRDefault="008E6385" w:rsidP="00D67063">
      <w:pPr>
        <w:numPr>
          <w:ilvl w:val="0"/>
          <w:numId w:val="18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Pracownik zainteresowany wyjazdem w celu prowadzenia zajęć dydaktycznych w instytucji zagranicznej wybiera instytucję przyjmującą, zgodnie z informacjami zamieszczonymi w § 3, ust. 1. i 2. </w:t>
      </w:r>
    </w:p>
    <w:p w14:paraId="5F53BCE8" w14:textId="77777777" w:rsidR="00A97A9E" w:rsidRDefault="008E6385" w:rsidP="009B54AA">
      <w:pPr>
        <w:numPr>
          <w:ilvl w:val="0"/>
          <w:numId w:val="19"/>
        </w:numPr>
        <w:spacing w:after="0" w:line="240" w:lineRule="auto"/>
        <w:ind w:left="37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Podstawę zg</w:t>
      </w:r>
      <w:r w:rsidR="00044A3A">
        <w:rPr>
          <w:rFonts w:eastAsia="Times New Roman" w:cstheme="minorHAnsi"/>
          <w:sz w:val="20"/>
          <w:szCs w:val="20"/>
          <w:lang w:eastAsia="pl-PL"/>
        </w:rPr>
        <w:t>łoszenia stanowi</w:t>
      </w:r>
      <w:r w:rsidR="00A97A9E">
        <w:rPr>
          <w:rFonts w:eastAsia="Times New Roman" w:cstheme="minorHAnsi"/>
          <w:sz w:val="20"/>
          <w:szCs w:val="20"/>
          <w:lang w:eastAsia="pl-PL"/>
        </w:rPr>
        <w:t>ą złożone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 xml:space="preserve"> do BWM</w:t>
      </w:r>
      <w:r w:rsidR="009B54AA">
        <w:rPr>
          <w:rFonts w:eastAsia="Times New Roman" w:cstheme="minorHAnsi"/>
          <w:sz w:val="20"/>
          <w:szCs w:val="20"/>
          <w:lang w:eastAsia="pl-PL"/>
        </w:rPr>
        <w:t xml:space="preserve"> dokument</w:t>
      </w:r>
      <w:r w:rsidR="00A97A9E">
        <w:rPr>
          <w:rFonts w:eastAsia="Times New Roman" w:cstheme="minorHAnsi"/>
          <w:sz w:val="20"/>
          <w:szCs w:val="20"/>
          <w:lang w:eastAsia="pl-PL"/>
        </w:rPr>
        <w:t>y:</w:t>
      </w:r>
    </w:p>
    <w:p w14:paraId="2F93BBB9" w14:textId="148B750E" w:rsidR="008E6385" w:rsidRPr="00A97A9E" w:rsidRDefault="009B54AA" w:rsidP="00A97A9E">
      <w:pPr>
        <w:pStyle w:val="Akapitzlist"/>
        <w:numPr>
          <w:ilvl w:val="1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A97A9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E6385" w:rsidRPr="00A97A9E">
        <w:rPr>
          <w:rFonts w:eastAsia="Times New Roman" w:cstheme="minorHAnsi"/>
          <w:i/>
          <w:iCs/>
          <w:sz w:val="20"/>
          <w:szCs w:val="20"/>
          <w:lang w:val="en-US" w:eastAsia="pl-PL"/>
        </w:rPr>
        <w:t xml:space="preserve">Staff </w:t>
      </w:r>
      <w:r w:rsidRPr="00A97A9E">
        <w:rPr>
          <w:rFonts w:eastAsia="Times New Roman" w:cstheme="minorHAnsi"/>
          <w:i/>
          <w:iCs/>
          <w:sz w:val="20"/>
          <w:szCs w:val="20"/>
          <w:lang w:val="en-US" w:eastAsia="pl-PL"/>
        </w:rPr>
        <w:t>Mobility  for Teaching</w:t>
      </w:r>
      <w:r w:rsidR="00A97A9E">
        <w:rPr>
          <w:rFonts w:eastAsia="Times New Roman" w:cstheme="minorHAnsi"/>
          <w:i/>
          <w:iCs/>
          <w:sz w:val="20"/>
          <w:szCs w:val="20"/>
          <w:lang w:val="en-US" w:eastAsia="pl-PL"/>
        </w:rPr>
        <w:t>,</w:t>
      </w:r>
    </w:p>
    <w:p w14:paraId="45165EA5" w14:textId="07947AD8" w:rsidR="00A97A9E" w:rsidRPr="00A97A9E" w:rsidRDefault="00A97A9E" w:rsidP="00A97A9E">
      <w:pPr>
        <w:pStyle w:val="Akapitzlist"/>
        <w:numPr>
          <w:ilvl w:val="1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val="en-US" w:eastAsia="pl-PL"/>
        </w:rPr>
        <w:t>Opinia przełożonego.</w:t>
      </w:r>
      <w:bookmarkStart w:id="0" w:name="_GoBack"/>
      <w:bookmarkEnd w:id="0"/>
    </w:p>
    <w:p w14:paraId="51956C51" w14:textId="3EA209ED" w:rsidR="008E6385" w:rsidRPr="008B7947" w:rsidRDefault="009B54AA" w:rsidP="00D67063">
      <w:pPr>
        <w:numPr>
          <w:ilvl w:val="0"/>
          <w:numId w:val="21"/>
        </w:numPr>
        <w:spacing w:after="0" w:line="240" w:lineRule="auto"/>
        <w:ind w:left="4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Wypełniony i podpisany dokument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 xml:space="preserve"> należy złożyć w formie papierowej d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o BWM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 xml:space="preserve"> lub przesłać skanem na adres mailo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 xml:space="preserve">wy </w:t>
      </w:r>
      <w:r w:rsidR="00426F10" w:rsidRPr="008B7947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t>international@wsei.edu.</w:t>
      </w:r>
      <w:r w:rsidR="008E6385" w:rsidRPr="008B7947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t>pl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 xml:space="preserve"> w terminie podanym w oficjalnym zaproszeniu do składania wniosków. </w:t>
      </w:r>
    </w:p>
    <w:p w14:paraId="73145CA7" w14:textId="77777777" w:rsidR="00426F10" w:rsidRPr="008B7947" w:rsidRDefault="00426F10" w:rsidP="00426F10">
      <w:pPr>
        <w:spacing w:after="0" w:line="240" w:lineRule="auto"/>
        <w:ind w:left="40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C693D89" w14:textId="77777777" w:rsidR="008E6385" w:rsidRPr="008B7947" w:rsidRDefault="008E6385" w:rsidP="008E6385">
      <w:pPr>
        <w:spacing w:after="0" w:line="240" w:lineRule="auto"/>
        <w:ind w:left="73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1C6A9002" w14:textId="21CD935A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Procedura kwalifikacji do wyjazdu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669AB36B" w14:textId="77777777" w:rsidR="00D67063" w:rsidRPr="008B7947" w:rsidRDefault="00D67063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3F234B1C" w14:textId="3049D746" w:rsidR="008E6385" w:rsidRPr="008B7947" w:rsidRDefault="009B54AA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5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4805355B" w14:textId="77777777" w:rsidR="008E6385" w:rsidRPr="008B7947" w:rsidRDefault="008E6385" w:rsidP="00D67063">
      <w:pPr>
        <w:numPr>
          <w:ilvl w:val="0"/>
          <w:numId w:val="22"/>
        </w:numPr>
        <w:spacing w:after="0" w:line="240" w:lineRule="auto"/>
        <w:ind w:left="34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Rozpatrzeniem złożonych przez kandydatów dokumentów na wyjazd w ramach działań STA dokonuje Uczelniana Komisja w następującym składzie: </w:t>
      </w:r>
    </w:p>
    <w:p w14:paraId="0ADCC924" w14:textId="6DED3C67" w:rsidR="008E6385" w:rsidRPr="008B7947" w:rsidRDefault="00426F10" w:rsidP="00D67063">
      <w:pPr>
        <w:numPr>
          <w:ilvl w:val="0"/>
          <w:numId w:val="23"/>
        </w:numPr>
        <w:spacing w:after="0" w:line="240" w:lineRule="auto"/>
        <w:ind w:left="84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Prorektor ds. Współpracy Międzynarodowej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; </w:t>
      </w:r>
    </w:p>
    <w:p w14:paraId="3C219F82" w14:textId="3642EC6F" w:rsidR="008E6385" w:rsidRPr="008B7947" w:rsidRDefault="00426F10" w:rsidP="00D67063">
      <w:pPr>
        <w:numPr>
          <w:ilvl w:val="0"/>
          <w:numId w:val="24"/>
        </w:numPr>
        <w:spacing w:after="0" w:line="240" w:lineRule="auto"/>
        <w:ind w:left="84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Dziekan.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6B6BDEE6" w14:textId="352F61EA" w:rsidR="008E6385" w:rsidRPr="008B7947" w:rsidRDefault="008E6385" w:rsidP="00D67063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Uczelniana Komisja podejmuje decyzje kwalifikujące do wyjazdów STA, aż do wyczerpania środków finansowych przewidzianych na wyjazdy STA oraz w oparciu o przyznaną przez NA liczbę miejsc wyjazdowych w danym projekcie. </w:t>
      </w:r>
    </w:p>
    <w:p w14:paraId="24530AE1" w14:textId="6A4C808D" w:rsidR="008E6385" w:rsidRPr="008B7947" w:rsidRDefault="008E6385" w:rsidP="00D67063">
      <w:pPr>
        <w:numPr>
          <w:ilvl w:val="0"/>
          <w:numId w:val="25"/>
        </w:numPr>
        <w:spacing w:after="0" w:line="240" w:lineRule="auto"/>
        <w:ind w:left="4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przypadku, gdy ktoś z członków komisji zgłosi chęć wyjazdu STA oraz złoży wymagane dokumenty – nie może podejmować decyzji o zakwalifikowaniu na wyjazd we własnej sprawie. W takim wypadku członka Komisji zastępuje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Kanclerz</w:t>
      </w:r>
      <w:r w:rsidRPr="008B7947">
        <w:rPr>
          <w:rFonts w:eastAsia="Times New Roman" w:cstheme="minorHAnsi"/>
          <w:sz w:val="20"/>
          <w:szCs w:val="20"/>
          <w:lang w:eastAsia="pl-PL"/>
        </w:rPr>
        <w:t>. </w:t>
      </w:r>
    </w:p>
    <w:p w14:paraId="20D50DD1" w14:textId="22C7F266" w:rsidR="008E6385" w:rsidRPr="008B7947" w:rsidRDefault="008E6385" w:rsidP="008E6385">
      <w:pPr>
        <w:spacing w:after="0" w:line="240" w:lineRule="auto"/>
        <w:ind w:left="1080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287FC79F" w14:textId="6922E95F" w:rsidR="008E6385" w:rsidRPr="008B7947" w:rsidRDefault="009B54AA" w:rsidP="00426F10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6</w:t>
      </w:r>
    </w:p>
    <w:p w14:paraId="4919D72F" w14:textId="77777777" w:rsidR="008E6385" w:rsidRPr="008B7947" w:rsidRDefault="008E6385" w:rsidP="008E638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7F60F74B" w14:textId="77777777" w:rsidR="008E6385" w:rsidRPr="008B7947" w:rsidRDefault="008E6385" w:rsidP="00D67063">
      <w:pPr>
        <w:numPr>
          <w:ilvl w:val="0"/>
          <w:numId w:val="26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 procesie kwalifikacji pod uwagę brane są następujące kryteria: </w:t>
      </w:r>
    </w:p>
    <w:p w14:paraId="45FBF48D" w14:textId="77777777" w:rsidR="008E6385" w:rsidRPr="008B7947" w:rsidRDefault="008E6385" w:rsidP="00D67063">
      <w:pPr>
        <w:numPr>
          <w:ilvl w:val="0"/>
          <w:numId w:val="27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Zaproponowany przez pracownika „Indywidualny program wykładów” (</w:t>
      </w:r>
      <w:r w:rsidRPr="008B7947">
        <w:rPr>
          <w:rFonts w:eastAsia="Times New Roman" w:cstheme="minorHAnsi"/>
          <w:i/>
          <w:iCs/>
          <w:sz w:val="20"/>
          <w:szCs w:val="20"/>
          <w:lang w:eastAsia="pl-PL"/>
        </w:rPr>
        <w:t>Staff Mobility for Teaching</w:t>
      </w:r>
      <w:r w:rsidRPr="008B7947">
        <w:rPr>
          <w:rFonts w:eastAsia="Times New Roman" w:cstheme="minorHAnsi"/>
          <w:sz w:val="20"/>
          <w:szCs w:val="20"/>
          <w:lang w:eastAsia="pl-PL"/>
        </w:rPr>
        <w:t>); </w:t>
      </w:r>
    </w:p>
    <w:p w14:paraId="6DE1AC3F" w14:textId="557B71A4" w:rsidR="008E6385" w:rsidRPr="008B7947" w:rsidRDefault="008E6385" w:rsidP="00D67063">
      <w:pPr>
        <w:numPr>
          <w:ilvl w:val="0"/>
          <w:numId w:val="28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Opinia b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ezpośredniego przełożonego</w:t>
      </w:r>
      <w:r w:rsidRPr="008B7947">
        <w:rPr>
          <w:rFonts w:eastAsia="Times New Roman" w:cstheme="minorHAnsi"/>
          <w:sz w:val="20"/>
          <w:szCs w:val="20"/>
          <w:lang w:eastAsia="pl-PL"/>
        </w:rPr>
        <w:t>; </w:t>
      </w:r>
    </w:p>
    <w:p w14:paraId="0599E3BA" w14:textId="77777777" w:rsidR="008E6385" w:rsidRPr="008B7947" w:rsidRDefault="008E6385" w:rsidP="00D67063">
      <w:pPr>
        <w:numPr>
          <w:ilvl w:val="0"/>
          <w:numId w:val="29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Liczba wyjazdów w poprzednich 5 latach; </w:t>
      </w:r>
    </w:p>
    <w:p w14:paraId="7BC20D57" w14:textId="098E50DF" w:rsidR="008E6385" w:rsidRPr="008B7947" w:rsidRDefault="008E6385" w:rsidP="00D67063">
      <w:pPr>
        <w:numPr>
          <w:ilvl w:val="0"/>
          <w:numId w:val="30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Staż pracy na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>. </w:t>
      </w:r>
    </w:p>
    <w:p w14:paraId="5E86BA57" w14:textId="7A9DB948" w:rsidR="008E6385" w:rsidRPr="008B7947" w:rsidRDefault="008E6385" w:rsidP="00D67063">
      <w:pPr>
        <w:numPr>
          <w:ilvl w:val="0"/>
          <w:numId w:val="3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przypadku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zgłoszenia się Dziekana  lub Prorektora ds. Współpracy Międzynarodowej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, opinię wydaje </w:t>
      </w:r>
      <w:r w:rsidR="00426F10" w:rsidRPr="008B7947">
        <w:rPr>
          <w:rFonts w:eastAsia="Times New Roman" w:cstheme="minorHAnsi"/>
          <w:sz w:val="20"/>
          <w:szCs w:val="20"/>
          <w:lang w:eastAsia="pl-PL"/>
        </w:rPr>
        <w:t>Kanclerz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lub pod jego nieobecność Rektor. </w:t>
      </w:r>
    </w:p>
    <w:p w14:paraId="71A77FA2" w14:textId="23CB03F1" w:rsidR="008E6385" w:rsidRPr="008B7947" w:rsidRDefault="008E6385" w:rsidP="00D67063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Przez „wyjazdy w poprzednich 5 latach” rozumie się wyjazdy zagraniczne w ramach programu Erasmus+ na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>.  </w:t>
      </w:r>
    </w:p>
    <w:p w14:paraId="41D8567F" w14:textId="5F90991E" w:rsidR="008E6385" w:rsidRPr="008B7947" w:rsidRDefault="008E6385" w:rsidP="00D67063">
      <w:pPr>
        <w:numPr>
          <w:ilvl w:val="0"/>
          <w:numId w:val="33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Do „stażu pracy na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zaliczają się wszystkie okresy zatrudnienia Pracownika na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>, w tym na podst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a</w:t>
      </w:r>
      <w:r w:rsidRPr="008B7947">
        <w:rPr>
          <w:rFonts w:eastAsia="Times New Roman" w:cstheme="minorHAnsi"/>
          <w:sz w:val="20"/>
          <w:szCs w:val="20"/>
          <w:lang w:eastAsia="pl-PL"/>
        </w:rPr>
        <w:t>wie umów cywilno-prawnych.  </w:t>
      </w:r>
    </w:p>
    <w:p w14:paraId="237B2EAA" w14:textId="77777777" w:rsidR="008E6385" w:rsidRPr="008B7947" w:rsidRDefault="008E6385" w:rsidP="00D67063">
      <w:pPr>
        <w:numPr>
          <w:ilvl w:val="0"/>
          <w:numId w:val="34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 procesie kwalifikacji pracownik będzie oceniany według następującej punktacji: </w:t>
      </w:r>
    </w:p>
    <w:p w14:paraId="47B9F225" w14:textId="77777777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438B4CBC" w14:textId="77777777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Tabela 1: Kryteria w procesie kwalifikacji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425"/>
        <w:gridCol w:w="2115"/>
        <w:gridCol w:w="2115"/>
      </w:tblGrid>
      <w:tr w:rsidR="008E6385" w:rsidRPr="008B7947" w14:paraId="40E857D8" w14:textId="77777777" w:rsidTr="008E638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B9339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Ocena celów „Indywidualnego programu wykładów’’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BE420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Opinia menedżera kierunku</w:t>
            </w:r>
            <w:r w:rsidRPr="008B7947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B611D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wyjazdów w poprzednich 5 latach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965EF" w14:textId="1D0003D3" w:rsidR="008E6385" w:rsidRPr="008B7947" w:rsidRDefault="008E6385" w:rsidP="00C47E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Staż 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B79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 </w:t>
            </w:r>
            <w:r w:rsidR="00C47EF3" w:rsidRPr="008B79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WSEI</w:t>
            </w:r>
          </w:p>
        </w:tc>
      </w:tr>
      <w:tr w:rsidR="008E6385" w:rsidRPr="008B7947" w14:paraId="5F2DD3F8" w14:textId="77777777" w:rsidTr="008E638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EC107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cele są bardzo dobrze określone – 8 - 10 pkt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FEEEE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bardzo dobra –  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8 - 10 pkt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DDB93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0 wyjazdów –  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10 pkt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DA2AC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5 lat i powyżej –  </w:t>
            </w:r>
          </w:p>
          <w:p w14:paraId="22F65529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10 pkt </w:t>
            </w:r>
          </w:p>
        </w:tc>
      </w:tr>
      <w:tr w:rsidR="008E6385" w:rsidRPr="008B7947" w14:paraId="23FD1594" w14:textId="77777777" w:rsidTr="008E638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9CC46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cele są dobrze określone – 4 - 7 pkt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E8AF2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dobra –  </w:t>
            </w: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4 - 7 pkt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546F1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1 wyjazd – 5 pkt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F945F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Poniżej 5 </w:t>
            </w:r>
          </w:p>
          <w:p w14:paraId="735BCE0F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 – 5 pkt </w:t>
            </w:r>
          </w:p>
        </w:tc>
      </w:tr>
      <w:tr w:rsidR="008E6385" w:rsidRPr="008B7947" w14:paraId="6DEFF04F" w14:textId="77777777" w:rsidTr="008E638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1999F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cele są dostatecznie określone – 1 - 3 pkt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F2DD8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dostateczna – 1 - 3 pkt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EA371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2 i więcej – 1 pkt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0F627" w14:textId="77777777" w:rsidR="008E6385" w:rsidRPr="008B7947" w:rsidRDefault="008E6385" w:rsidP="008E63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947">
              <w:rPr>
                <w:rFonts w:eastAsia="Times New Roman" w:cstheme="minorHAnsi"/>
                <w:sz w:val="20"/>
                <w:szCs w:val="20"/>
                <w:lang w:eastAsia="pl-PL"/>
              </w:rPr>
              <w:t>Pierwszy rok zatrudnienia – 1 pkt </w:t>
            </w:r>
          </w:p>
        </w:tc>
      </w:tr>
    </w:tbl>
    <w:p w14:paraId="28E3051B" w14:textId="17104D39" w:rsidR="008E6385" w:rsidRPr="008B7947" w:rsidRDefault="008E6385" w:rsidP="008E6385">
      <w:pPr>
        <w:spacing w:after="0" w:line="240" w:lineRule="auto"/>
        <w:ind w:left="705" w:firstLine="70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i/>
          <w:iCs/>
          <w:sz w:val="20"/>
          <w:szCs w:val="20"/>
          <w:lang w:eastAsia="pl-PL"/>
        </w:rPr>
        <w:t>* Negatywna opinia menedżera kierunku dyskwalifikuje kandydata do wyjazdu.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676F49C3" w14:textId="57E1F3E6" w:rsidR="00C47EF3" w:rsidRPr="008B7947" w:rsidRDefault="00C47EF3" w:rsidP="008E6385">
      <w:pPr>
        <w:spacing w:after="0" w:line="240" w:lineRule="auto"/>
        <w:ind w:left="705" w:firstLine="70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1256AB34" w14:textId="77777777" w:rsidR="00D67063" w:rsidRPr="008B7947" w:rsidRDefault="00D67063" w:rsidP="008E6385">
      <w:pPr>
        <w:spacing w:after="0" w:line="240" w:lineRule="auto"/>
        <w:ind w:left="705" w:firstLine="70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2847A0C5" w14:textId="77777777" w:rsidR="008E6385" w:rsidRPr="008B7947" w:rsidRDefault="008E6385" w:rsidP="008E6385">
      <w:pPr>
        <w:spacing w:after="0" w:line="240" w:lineRule="auto"/>
        <w:ind w:left="705" w:firstLine="70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5EEF75BD" w14:textId="77777777" w:rsidR="008E6385" w:rsidRPr="008B7947" w:rsidRDefault="008E6385" w:rsidP="00D67063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Na podstawie zdobytych punktów zostanie sporządzona lista rankingowa. Pierwszeństwo wyjazdów będą mieli pracownicy z wyższą liczbą punktów.  </w:t>
      </w:r>
    </w:p>
    <w:p w14:paraId="2384BB23" w14:textId="77777777" w:rsidR="008E6385" w:rsidRPr="008B7947" w:rsidRDefault="008E6385" w:rsidP="00D67063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Pracownik ma prawo odwołania od decyzji</w:t>
      </w:r>
      <w:r w:rsidRPr="008B7947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8B7947">
        <w:rPr>
          <w:rFonts w:eastAsia="Times New Roman" w:cstheme="minorHAnsi"/>
          <w:sz w:val="20"/>
          <w:szCs w:val="20"/>
          <w:lang w:eastAsia="pl-PL"/>
        </w:rPr>
        <w:t>Komisji do Komisji Odwoławczej w ciągu 7 dni od otrzymania decyzji. </w:t>
      </w:r>
    </w:p>
    <w:p w14:paraId="360C01A3" w14:textId="77777777" w:rsidR="008E6385" w:rsidRPr="008B7947" w:rsidRDefault="008E6385" w:rsidP="00D67063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lastRenderedPageBreak/>
        <w:t>W skład Komisji Odwoławczej wchodzą: </w:t>
      </w:r>
    </w:p>
    <w:p w14:paraId="05A78E7A" w14:textId="72F69024" w:rsidR="008E6385" w:rsidRPr="008B7947" w:rsidRDefault="00C47EF3" w:rsidP="00D67063">
      <w:pPr>
        <w:numPr>
          <w:ilvl w:val="0"/>
          <w:numId w:val="38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Kanclerz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; </w:t>
      </w:r>
    </w:p>
    <w:p w14:paraId="0811A402" w14:textId="1E947BFF" w:rsidR="008E6385" w:rsidRPr="008B7947" w:rsidRDefault="00C47EF3" w:rsidP="00D67063">
      <w:pPr>
        <w:numPr>
          <w:ilvl w:val="0"/>
          <w:numId w:val="39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Rektor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. </w:t>
      </w:r>
    </w:p>
    <w:p w14:paraId="150E2E9D" w14:textId="5660D2E0" w:rsidR="00C47EF3" w:rsidRDefault="00C47EF3" w:rsidP="00C47EF3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5B86CE04" w14:textId="77777777" w:rsidR="009B54AA" w:rsidRPr="008B7947" w:rsidRDefault="009B54AA" w:rsidP="00C47EF3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27CD915B" w14:textId="3369895E" w:rsidR="008E6385" w:rsidRPr="008B7947" w:rsidRDefault="009B54AA" w:rsidP="009B54AA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7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144E257B" w14:textId="77777777" w:rsidR="008E6385" w:rsidRPr="008B7947" w:rsidRDefault="008E6385" w:rsidP="008E6385">
      <w:pPr>
        <w:spacing w:after="0" w:line="240" w:lineRule="auto"/>
        <w:ind w:left="45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Podczas procedury kwalifikacyjnej zapewniona jest równość szans kobiet i mężczyzn, a także osób niepełnosprawnych. </w:t>
      </w:r>
    </w:p>
    <w:p w14:paraId="2E13F430" w14:textId="0F0A55C9" w:rsidR="00C47EF3" w:rsidRPr="009B54AA" w:rsidRDefault="008E6385" w:rsidP="009B54AA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75B997BA" w14:textId="77777777" w:rsidR="00D67063" w:rsidRPr="008B7947" w:rsidRDefault="00D67063" w:rsidP="008E6385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5281D8E9" w14:textId="5194170A" w:rsidR="008E6385" w:rsidRPr="008B7947" w:rsidRDefault="009B54AA" w:rsidP="009B54AA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8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5A6B4121" w14:textId="4E8BAAEE" w:rsidR="008E6385" w:rsidRPr="008B7947" w:rsidRDefault="008E6385" w:rsidP="008E6385">
      <w:pPr>
        <w:spacing w:after="0" w:line="240" w:lineRule="auto"/>
        <w:ind w:left="45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Uczelniana Komisja sporządza protokół z każdego postępowania kwalifikacyjnego wraz z listą osób zakwalifikowanych do wyjazdów oraz listą rezerwową. Informacje o wynikach postępowania kwalifikacyjnego są dostarczane kandydatom pocztą elektroniczną. </w:t>
      </w:r>
    </w:p>
    <w:p w14:paraId="5F294FF7" w14:textId="4EED98F6" w:rsidR="00C47EF3" w:rsidRPr="008B7947" w:rsidRDefault="00C47EF3" w:rsidP="008E6385">
      <w:pPr>
        <w:spacing w:after="0" w:line="240" w:lineRule="auto"/>
        <w:ind w:left="45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B7C3529" w14:textId="336DB7AD" w:rsidR="00C47EF3" w:rsidRPr="008B7947" w:rsidRDefault="00C47EF3" w:rsidP="008E6385">
      <w:pPr>
        <w:spacing w:after="0" w:line="240" w:lineRule="auto"/>
        <w:ind w:left="450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5FAE6AB3" w14:textId="6BFEC077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Zasady finansowania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272A85D9" w14:textId="77777777" w:rsidR="00D67063" w:rsidRPr="008B7947" w:rsidRDefault="00D67063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41403B74" w14:textId="3B4CFC63" w:rsidR="008E6385" w:rsidRPr="008B7947" w:rsidRDefault="009B54AA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9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5835B698" w14:textId="1CFC08AC" w:rsidR="008E6385" w:rsidRPr="008B7947" w:rsidRDefault="008E6385" w:rsidP="00D67063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Liczba</w:t>
      </w:r>
      <w:r w:rsidRPr="008B7947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dostępnych miejsc w uczelniach partnerskich uzależniona jest od ustaleń zawartych w umowach bilateralnych między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a uczelniami partnerskimi. Liczba przyznawanych stypendiów uzależniona jest od wysokości grantu przyznawanego Uczelni w danym projekcie przez Narodową Agencję Programu Erasmus+ w Polsce oraz aktualnie obowiązujących dobowych limitów na wyjazdy do poszczególnych grup krajów. </w:t>
      </w:r>
    </w:p>
    <w:p w14:paraId="1FAABCD0" w14:textId="77777777" w:rsidR="008E6385" w:rsidRPr="008B7947" w:rsidRDefault="008E6385" w:rsidP="00D67063">
      <w:pPr>
        <w:numPr>
          <w:ilvl w:val="0"/>
          <w:numId w:val="4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Na okres pobytu przyznane jest stypendium zgodne z obowiązującymi w danym projekcie stawkami ogłaszanymi przez Komisję Europejską oraz Narodową Agencję Programu Erasmus+</w:t>
      </w:r>
      <w:r w:rsidRPr="008B7947">
        <w:rPr>
          <w:rFonts w:eastAsia="Times New Roman" w:cstheme="minorHAnsi"/>
          <w:color w:val="0078D4"/>
          <w:sz w:val="20"/>
          <w:szCs w:val="20"/>
          <w:u w:val="single"/>
          <w:lang w:eastAsia="pl-PL"/>
        </w:rPr>
        <w:t>.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741A37FF" w14:textId="2C9DC0B2" w:rsidR="008E6385" w:rsidRPr="008B7947" w:rsidRDefault="008E6385" w:rsidP="00D67063">
      <w:pPr>
        <w:numPr>
          <w:ilvl w:val="0"/>
          <w:numId w:val="4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ramach przyznanego dofinansowania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będzie wypłacać pracownikom ryczałt na koszty podróży. Kwota ryczałtu jest uzależniona od odległości między miejscem rozpoczęcia podróży a miejscem docelowym (pod uwagę należy wziąć odległość podróży w jedną stronę, aby obliczyć kwotę ryczałtu należną za podróż w obie strony). Do obliczenia odległości stosuje się kalkulator odległości opracowany przez Komisję Europejską. </w:t>
      </w:r>
    </w:p>
    <w:p w14:paraId="2CE339EF" w14:textId="77777777" w:rsidR="008E6385" w:rsidRPr="008B7947" w:rsidRDefault="008E6385" w:rsidP="00D67063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Za tzw. podróż </w:t>
      </w:r>
      <w:r w:rsidRPr="008B7947">
        <w:rPr>
          <w:rFonts w:eastAsia="Times New Roman" w:cstheme="minorHAnsi"/>
          <w:i/>
          <w:iCs/>
          <w:sz w:val="20"/>
          <w:szCs w:val="20"/>
          <w:lang w:eastAsia="pl-PL"/>
        </w:rPr>
        <w:t>Green Travel</w:t>
      </w:r>
      <w:r w:rsidRPr="008B7947">
        <w:rPr>
          <w:rFonts w:eastAsia="Times New Roman" w:cstheme="minorHAnsi"/>
          <w:sz w:val="20"/>
          <w:szCs w:val="20"/>
          <w:lang w:eastAsia="pl-PL"/>
        </w:rPr>
        <w:t>, czyli podróż z wykorzystaniem niskoemisyjnych środków transportu, takich jak autobus, pociąg lub wspólne korzystanie z samochodu, pracownikowi przysługuje zwiększona stawka na koszty podróży oraz wsparcie indywidualne na koszty utrzymania – możliwe dla 4 dodatkowych dni podróży: </w:t>
      </w:r>
    </w:p>
    <w:p w14:paraId="243248E3" w14:textId="77777777" w:rsidR="008E6385" w:rsidRPr="008B7947" w:rsidRDefault="008E6385" w:rsidP="00D67063">
      <w:pPr>
        <w:numPr>
          <w:ilvl w:val="0"/>
          <w:numId w:val="44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Dla podróży do 999 km – 1 dodatkowy dzień; </w:t>
      </w:r>
    </w:p>
    <w:p w14:paraId="3822F5BF" w14:textId="77777777" w:rsidR="008E6385" w:rsidRPr="008B7947" w:rsidRDefault="008E6385" w:rsidP="00D67063">
      <w:pPr>
        <w:numPr>
          <w:ilvl w:val="0"/>
          <w:numId w:val="45"/>
        </w:numPr>
        <w:spacing w:after="0" w:line="240" w:lineRule="auto"/>
        <w:ind w:left="108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Dla podróży od 1000 km – 2 dodatkowe dni. </w:t>
      </w:r>
    </w:p>
    <w:p w14:paraId="303A6C97" w14:textId="77777777" w:rsidR="008E6385" w:rsidRPr="008B7947" w:rsidRDefault="008E6385" w:rsidP="00D67063">
      <w:pPr>
        <w:numPr>
          <w:ilvl w:val="0"/>
          <w:numId w:val="46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Deklarowany sposób podróży </w:t>
      </w:r>
      <w:r w:rsidRPr="008B7947">
        <w:rPr>
          <w:rFonts w:eastAsia="Times New Roman" w:cstheme="minorHAnsi"/>
          <w:i/>
          <w:iCs/>
          <w:sz w:val="20"/>
          <w:szCs w:val="20"/>
          <w:lang w:eastAsia="pl-PL"/>
        </w:rPr>
        <w:t>Green Travel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poświadczany jest za pomocą pisemnego oświadczenia pracownika oraz dokumentów potwierdzających podróż z wykorzystaniem niskoemisyjnych środków transportu, takich jak bilety, rachunki, faktury, itp.  </w:t>
      </w:r>
    </w:p>
    <w:p w14:paraId="4C64AC47" w14:textId="77777777" w:rsidR="008E6385" w:rsidRPr="008B7947" w:rsidRDefault="008E6385" w:rsidP="00D67063">
      <w:pPr>
        <w:numPr>
          <w:ilvl w:val="0"/>
          <w:numId w:val="47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Data na dokumentach wymienionych w pkt. 5 nie może pokrywać się z terminem realizacji mobilności (daty w umowie finansowej) ani podróż nie może odbywać się w terminie dłuższym niż jeden tydzień (7 dni) przed rozpoczęciem mobilności i jeden tydzień (7 dni) po zakończeniu mobilności. Wyjątek stanowi dzień rozpoczęcia/zakończenia podróży, który może być tożsamy z datą rozpoczęcia/zakończenia mobilności. </w:t>
      </w:r>
    </w:p>
    <w:p w14:paraId="4D320E50" w14:textId="491E858B" w:rsidR="008E6385" w:rsidRPr="008B7947" w:rsidRDefault="008E6385" w:rsidP="00D67063">
      <w:pPr>
        <w:numPr>
          <w:ilvl w:val="0"/>
          <w:numId w:val="48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Przekazanie kwoty stypendium nastąpi w oparciu o umowę podpisaną pomiędzy pracownikiem a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> , pod warunkiem zaakceptowania wszystkich warunków umowy. Wysokość przyznanej kwoty będzie wyrażona w EUR. </w:t>
      </w:r>
    </w:p>
    <w:p w14:paraId="145BE9D5" w14:textId="77777777" w:rsidR="008E6385" w:rsidRPr="008B7947" w:rsidRDefault="008E6385" w:rsidP="00D67063">
      <w:pPr>
        <w:numPr>
          <w:ilvl w:val="0"/>
          <w:numId w:val="49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Zgodnie z zapisami umowy niedostarczenie wymaganych dokumentów może stanowić dla Koordynatora Instytucjonalnego Programu Erasmus+ podstawę do cofnięcia przyznanego stypendium.  </w:t>
      </w:r>
    </w:p>
    <w:p w14:paraId="252650E5" w14:textId="32F60029" w:rsidR="008E6385" w:rsidRPr="008B7947" w:rsidRDefault="008E6385" w:rsidP="00D67063">
      <w:pPr>
        <w:numPr>
          <w:ilvl w:val="0"/>
          <w:numId w:val="50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 przypadku</w:t>
      </w:r>
      <w:r w:rsidRPr="008B7947">
        <w:rPr>
          <w:rFonts w:eastAsia="Times New Roman" w:cstheme="minorHAnsi"/>
          <w:color w:val="0078D4"/>
          <w:sz w:val="20"/>
          <w:szCs w:val="20"/>
          <w:u w:val="single"/>
          <w:lang w:eastAsia="pl-PL"/>
        </w:rPr>
        <w:t>,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gdy pracownikowi została cofnięta zgoda na realizację mobilności oraz przyznane stypendium, możliwość z korzystania z wyjazdu przypada kolejnej osobie z listy rezerwowej. </w:t>
      </w:r>
    </w:p>
    <w:p w14:paraId="2270F67E" w14:textId="77777777" w:rsidR="00C47EF3" w:rsidRPr="008B7947" w:rsidRDefault="00C47EF3" w:rsidP="00C47EF3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1634AAA4" w14:textId="6EE9F876" w:rsidR="00D67063" w:rsidRPr="008B7947" w:rsidRDefault="009B54AA" w:rsidP="00D67063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10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1C397BCD" w14:textId="255DAFF9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Zgodnie z ogólnymi regulacjami Programu Erasmus + stypendium przyznane pracownikowi przeznaczone jest na pokrycie częściowych kosztów związanych z wyjazdem i z pobytem za granicą. Nie gwarantuje ono całkowitego pokrycia kosztów związanych z realizacją wyjazdu. </w:t>
      </w:r>
    </w:p>
    <w:p w14:paraId="249FDA83" w14:textId="77777777" w:rsidR="00C47EF3" w:rsidRPr="008B7947" w:rsidRDefault="00C47EF3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644F2A28" w14:textId="4FCFE660" w:rsidR="008E6385" w:rsidRPr="008B7947" w:rsidRDefault="009B54AA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11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4C1133B2" w14:textId="77777777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Stypendium zostanie wypłacone w wysokości 100% przyznanej kwoty na konto bankowe wskazane przez pracownika, w terminie maksymalnie 30 dni od dnia podpisania umowy finansowej przez ostatnią ze stron, nie później niż w dzień wyjazdu pracownika. </w:t>
      </w:r>
    </w:p>
    <w:p w14:paraId="4AF91479" w14:textId="238E9EF8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31755F98" w14:textId="77777777" w:rsidR="00C47EF3" w:rsidRPr="008B7947" w:rsidRDefault="00C47EF3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50933382" w14:textId="7972EF53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Obowiązki pracownika przed wyjazdem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49544168" w14:textId="77777777" w:rsidR="00D67063" w:rsidRPr="008B7947" w:rsidRDefault="00D67063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3A2BDBFE" w14:textId="25702735" w:rsidR="008E6385" w:rsidRPr="008B7947" w:rsidRDefault="009B54AA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12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3FA369FA" w14:textId="77777777" w:rsidR="008E6385" w:rsidRPr="008B7947" w:rsidRDefault="008E6385" w:rsidP="00D67063">
      <w:pPr>
        <w:numPr>
          <w:ilvl w:val="0"/>
          <w:numId w:val="51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Z pracownikiem zakwalifikowanym na wyjazd STA w ramach programu Erasmus+ zostanie sporządzona pisemna umowa określająca warunki wyjazdu. </w:t>
      </w:r>
    </w:p>
    <w:p w14:paraId="7B257954" w14:textId="77777777" w:rsidR="008E6385" w:rsidRPr="008B7947" w:rsidRDefault="008E6385" w:rsidP="00D67063">
      <w:pPr>
        <w:numPr>
          <w:ilvl w:val="0"/>
          <w:numId w:val="52"/>
        </w:numPr>
        <w:spacing w:after="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lastRenderedPageBreak/>
        <w:t>Pracownik uczestniczący w wyjeździe STA jest zobowiązany do: </w:t>
      </w:r>
    </w:p>
    <w:p w14:paraId="67AC7FBA" w14:textId="69767D12" w:rsidR="008E6385" w:rsidRPr="008B7947" w:rsidRDefault="008E6385" w:rsidP="00D67063">
      <w:pPr>
        <w:numPr>
          <w:ilvl w:val="0"/>
          <w:numId w:val="53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Ubezpieczenia się na czas podróży i pobytu w instytucji przyjmującej (koszty leczenia i następstwa nieszczęśliwych wypadków) – kopia ubezpieczenia powinna zostać przesłana emailem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lub dostarczona osobiście do BWM</w:t>
      </w:r>
      <w:r w:rsidRPr="008B7947">
        <w:rPr>
          <w:rFonts w:eastAsia="Times New Roman" w:cstheme="minorHAnsi"/>
          <w:sz w:val="20"/>
          <w:szCs w:val="20"/>
          <w:lang w:eastAsia="pl-PL"/>
        </w:rPr>
        <w:t>; </w:t>
      </w:r>
    </w:p>
    <w:p w14:paraId="5FACF848" w14:textId="5095EA05" w:rsidR="008E6385" w:rsidRPr="008B7947" w:rsidRDefault="008E6385" w:rsidP="00D67063">
      <w:pPr>
        <w:numPr>
          <w:ilvl w:val="0"/>
          <w:numId w:val="54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Dostarczenia do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BWM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Indywidualnego Programu Wykładów zatwierdzonego przez przedstawiciela instytucji przyjmującej, do której wyjeżdża; </w:t>
      </w:r>
    </w:p>
    <w:p w14:paraId="09BDC9B6" w14:textId="69522AB9" w:rsidR="008E6385" w:rsidRPr="008B7947" w:rsidRDefault="00C47EF3" w:rsidP="00D67063">
      <w:pPr>
        <w:numPr>
          <w:ilvl w:val="0"/>
          <w:numId w:val="55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Uzysk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ania wizy – o ile wymaga tego stan prawny danego kraju – skan wizy powinien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zostać przesłany emailem do BWM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. </w:t>
      </w:r>
    </w:p>
    <w:p w14:paraId="304DF195" w14:textId="7378BD09" w:rsidR="00C47EF3" w:rsidRPr="008B7947" w:rsidRDefault="008E6385" w:rsidP="008E6385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222F1D15" w14:textId="4077FE99" w:rsidR="008E6385" w:rsidRPr="008B7947" w:rsidRDefault="009B54AA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13</w:t>
      </w:r>
    </w:p>
    <w:p w14:paraId="047B74B1" w14:textId="77777777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 przypadku rezygnacji z wyjazdu, pracownik zobowiązany jest do niezwłocznego złożenia pisemnej rezygnacji z wyjazdu. </w:t>
      </w:r>
    </w:p>
    <w:p w14:paraId="0F385769" w14:textId="3939B3ED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75B859EB" w14:textId="77777777" w:rsidR="00C47EF3" w:rsidRPr="008B7947" w:rsidRDefault="00C47EF3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7F7E17F4" w14:textId="79F8E8FE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Obowiązki pracownika po powrocie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5D0F59AC" w14:textId="77777777" w:rsidR="00D67063" w:rsidRPr="008B7947" w:rsidRDefault="00D67063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2369F06A" w14:textId="3CC4A3FC" w:rsidR="008E6385" w:rsidRPr="008B7947" w:rsidRDefault="009B54AA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14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3238E741" w14:textId="77777777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Po powrocie z wyjazdu STA pracownik jest zobowiązany do: </w:t>
      </w:r>
    </w:p>
    <w:p w14:paraId="4C0C6CCC" w14:textId="58DD1734" w:rsidR="008E6385" w:rsidRPr="008B7947" w:rsidRDefault="00C47EF3" w:rsidP="00D67063">
      <w:pPr>
        <w:numPr>
          <w:ilvl w:val="0"/>
          <w:numId w:val="56"/>
        </w:numPr>
        <w:spacing w:after="0" w:line="240" w:lineRule="auto"/>
        <w:ind w:left="0" w:firstLine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Złożenia w BWM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 xml:space="preserve"> dok</w:t>
      </w:r>
      <w:r w:rsidR="009B54AA">
        <w:rPr>
          <w:rFonts w:eastAsia="Times New Roman" w:cstheme="minorHAnsi"/>
          <w:sz w:val="20"/>
          <w:szCs w:val="20"/>
          <w:lang w:eastAsia="pl-PL"/>
        </w:rPr>
        <w:t>umentu potwierdzającego pobyt (L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etter of Confirmation zawierającego datę rozpoczęcia i zakończenia mobilności) oraz realizację założonego programu; </w:t>
      </w:r>
    </w:p>
    <w:p w14:paraId="13B6B331" w14:textId="77777777" w:rsidR="008E6385" w:rsidRPr="008B7947" w:rsidRDefault="008E6385" w:rsidP="00D67063">
      <w:pPr>
        <w:numPr>
          <w:ilvl w:val="0"/>
          <w:numId w:val="57"/>
        </w:numPr>
        <w:spacing w:after="0" w:line="240" w:lineRule="auto"/>
        <w:ind w:left="0" w:firstLine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Wypełnienia „Raportu uczestnika Erasmusa” – link do raportu zostanie przesłany drogą elektroniczną do każdego uczestnika; </w:t>
      </w:r>
    </w:p>
    <w:p w14:paraId="6305138C" w14:textId="77777777" w:rsidR="008E6385" w:rsidRPr="008B7947" w:rsidRDefault="008E6385" w:rsidP="00D67063">
      <w:pPr>
        <w:numPr>
          <w:ilvl w:val="0"/>
          <w:numId w:val="58"/>
        </w:numPr>
        <w:spacing w:after="0" w:line="240" w:lineRule="auto"/>
        <w:ind w:left="0" w:firstLine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Złożenia sprawozdania z wyjazdu w celu prowadzenia zajęć dydaktycznych (STA) w ramach programu Erasmus+; </w:t>
      </w:r>
    </w:p>
    <w:p w14:paraId="54CBDD44" w14:textId="425B6D07" w:rsidR="008E6385" w:rsidRPr="008B7947" w:rsidRDefault="008E6385" w:rsidP="00D67063">
      <w:pPr>
        <w:numPr>
          <w:ilvl w:val="0"/>
          <w:numId w:val="59"/>
        </w:numPr>
        <w:spacing w:after="0" w:line="240" w:lineRule="auto"/>
        <w:ind w:left="0" w:firstLine="0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Dostarczenia krótkiej fotore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lacji z wizyty do pracownika BWM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w ramach upowszechnia</w:t>
      </w:r>
      <w:r w:rsidR="009B54AA">
        <w:rPr>
          <w:rFonts w:eastAsia="Times New Roman" w:cstheme="minorHAnsi"/>
          <w:sz w:val="20"/>
          <w:szCs w:val="20"/>
          <w:lang w:eastAsia="pl-PL"/>
        </w:rPr>
        <w:t>nia rezultatów projektów Erasmus</w:t>
      </w:r>
      <w:r w:rsidRPr="008B7947">
        <w:rPr>
          <w:rFonts w:eastAsia="Times New Roman" w:cstheme="minorHAnsi"/>
          <w:sz w:val="20"/>
          <w:szCs w:val="20"/>
          <w:lang w:eastAsia="pl-PL"/>
        </w:rPr>
        <w:t>+. </w:t>
      </w:r>
    </w:p>
    <w:p w14:paraId="42DD9420" w14:textId="77777777" w:rsidR="00C47EF3" w:rsidRPr="008B7947" w:rsidRDefault="00C47EF3" w:rsidP="00C47EF3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2BF459C3" w14:textId="31934A51" w:rsidR="008E6385" w:rsidRPr="008B7947" w:rsidRDefault="009B54AA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 15</w:t>
      </w:r>
      <w:r w:rsidR="008E6385"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5824626F" w14:textId="2503B806" w:rsidR="008E6385" w:rsidRPr="008B7947" w:rsidRDefault="008E6385" w:rsidP="00D67063">
      <w:pPr>
        <w:numPr>
          <w:ilvl w:val="0"/>
          <w:numId w:val="60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przypadku niewypełnienia przez pracownika obowiązków wynikających z § 15,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ma prawo ubiegać się  o zwrot wypłaconego stypendium.</w:t>
      </w: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 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06E118F0" w14:textId="77777777" w:rsidR="008E6385" w:rsidRPr="008B7947" w:rsidRDefault="008E6385" w:rsidP="00D67063">
      <w:pPr>
        <w:numPr>
          <w:ilvl w:val="0"/>
          <w:numId w:val="61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Jeżeli pracownik zakończył pobyt wcześniej niż uzgodniono w umowie finansowej oraz zostanie to potwierdzone certyfikatem pobytu potwierdzającego rzeczywisty czas pobytu pracownika w instytucji przyjmującej, wymagany będzie zwrot części stypendium proporcjonalnie do czasu skróconego pobytu. </w:t>
      </w:r>
    </w:p>
    <w:p w14:paraId="04867626" w14:textId="1356952C" w:rsidR="008E6385" w:rsidRPr="008B7947" w:rsidRDefault="008E6385" w:rsidP="00D67063">
      <w:pPr>
        <w:numPr>
          <w:ilvl w:val="0"/>
          <w:numId w:val="62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przypadku pobytu krótszego niż minimalny, o którym mowa w </w:t>
      </w: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§ 3,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pracownik zo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bowiązany będzie do zwrotu całoś</w:t>
      </w:r>
      <w:r w:rsidRPr="008B7947">
        <w:rPr>
          <w:rFonts w:eastAsia="Times New Roman" w:cstheme="minorHAnsi"/>
          <w:sz w:val="20"/>
          <w:szCs w:val="20"/>
          <w:lang w:eastAsia="pl-PL"/>
        </w:rPr>
        <w:t>ci przyznanego stypendium. Wyjątkiem jest okoliczność określona jako „siła wyższa”, o której mowa w ust. 4. </w:t>
      </w:r>
    </w:p>
    <w:p w14:paraId="356F43CE" w14:textId="7A9FCA9B" w:rsidR="008E6385" w:rsidRPr="008B7947" w:rsidRDefault="008E6385" w:rsidP="00D67063">
      <w:pPr>
        <w:numPr>
          <w:ilvl w:val="0"/>
          <w:numId w:val="63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W przypadku zaistnienia okoliczności określonej jako „siła wyższa”: niezrealizowanie ustalonego programu szkolenia z powodu niezależnego od pracownika, związanego z nieszczęśliwym wydarzeniem lub poważną chorobą, pracownik zobowiązany jest do niezwłocznego zgło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szenia zaistniałego faktu do BWM, któr</w:t>
      </w:r>
      <w:r w:rsidRPr="008B7947">
        <w:rPr>
          <w:rFonts w:eastAsia="Times New Roman" w:cstheme="minorHAnsi"/>
          <w:sz w:val="20"/>
          <w:szCs w:val="20"/>
          <w:lang w:eastAsia="pl-PL"/>
        </w:rPr>
        <w:t>y przekazuję informację do NA. Po zatwierdzeniu przypadku „siły wyższej” przez NA, pracownik jest uprawniony do zachowania kwoty proporcjonalnej do rzeczywistego czasu trwania pobytu. </w:t>
      </w:r>
    </w:p>
    <w:p w14:paraId="088911ED" w14:textId="77777777" w:rsidR="008E6385" w:rsidRPr="008B7947" w:rsidRDefault="008E6385" w:rsidP="008E638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0D816DA5" w14:textId="30F01000" w:rsidR="008E6385" w:rsidRPr="008B7947" w:rsidRDefault="008E6385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947">
        <w:rPr>
          <w:rFonts w:eastAsia="Times New Roman" w:cstheme="minorHAnsi"/>
          <w:b/>
          <w:bCs/>
          <w:sz w:val="20"/>
          <w:szCs w:val="20"/>
          <w:lang w:eastAsia="pl-PL"/>
        </w:rPr>
        <w:t>Postanowienia końcowe</w:t>
      </w:r>
      <w:r w:rsidRPr="008B7947">
        <w:rPr>
          <w:rFonts w:eastAsia="Times New Roman" w:cstheme="minorHAnsi"/>
          <w:sz w:val="20"/>
          <w:szCs w:val="20"/>
          <w:lang w:eastAsia="pl-PL"/>
        </w:rPr>
        <w:t> </w:t>
      </w:r>
    </w:p>
    <w:p w14:paraId="04A294CA" w14:textId="77777777" w:rsidR="00D67063" w:rsidRPr="008B7947" w:rsidRDefault="00D67063" w:rsidP="008E6385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3957FD6D" w14:textId="504F6B20" w:rsidR="008E6385" w:rsidRPr="008B7947" w:rsidRDefault="008E6385" w:rsidP="008E6385">
      <w:pPr>
        <w:spacing w:after="0" w:line="240" w:lineRule="auto"/>
        <w:ind w:left="34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8B7947">
        <w:rPr>
          <w:rFonts w:eastAsia="Times New Roman" w:cstheme="minorHAnsi"/>
          <w:sz w:val="20"/>
          <w:szCs w:val="20"/>
          <w:lang w:eastAsia="pl-PL"/>
        </w:rPr>
        <w:t xml:space="preserve">W sprawach nieuregulowanych niniejszym Regulaminem należy stosować przepisy i wytyczne zawarte w unormowaniach programu Erasmus + oraz umów pomiędzy </w:t>
      </w:r>
      <w:r w:rsidR="00C47EF3" w:rsidRPr="008B7947">
        <w:rPr>
          <w:rFonts w:eastAsia="Times New Roman" w:cstheme="minorHAnsi"/>
          <w:sz w:val="20"/>
          <w:szCs w:val="20"/>
          <w:lang w:eastAsia="pl-PL"/>
        </w:rPr>
        <w:t>WSEI</w:t>
      </w:r>
      <w:r w:rsidRPr="008B7947">
        <w:rPr>
          <w:rFonts w:eastAsia="Times New Roman" w:cstheme="minorHAnsi"/>
          <w:sz w:val="20"/>
          <w:szCs w:val="20"/>
          <w:lang w:eastAsia="pl-PL"/>
        </w:rPr>
        <w:t xml:space="preserve"> a NA w danym projekcie. </w:t>
      </w:r>
    </w:p>
    <w:p w14:paraId="47585DBC" w14:textId="58093AE0" w:rsidR="00DE5F5D" w:rsidRPr="008B7947" w:rsidRDefault="00DE5F5D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75249929" w14:textId="383F612D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727FE046" w14:textId="79010146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369AE100" w14:textId="45E73FAE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5382D97D" w14:textId="166B0B41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239B7CFB" w14:textId="25EA9235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32F7C50F" w14:textId="761DEE51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754C9667" w14:textId="5CA57E48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53EA69B2" w14:textId="5BF04E74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2CFE9188" w14:textId="321363C9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2CE7E6DE" w14:textId="37D336E8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3CEE2232" w14:textId="1BF1B3D2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228C359D" w14:textId="411B3CCB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4CF81375" w14:textId="67DEED88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6E4B63D4" w14:textId="66783446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2C7A4144" w14:textId="3BE66866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113FEE58" w14:textId="150E9CB5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6C9E8FB6" w14:textId="0520F232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5BF80981" w14:textId="3326BC7A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701955E1" w14:textId="7FD6FFC0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761E76D0" w14:textId="2BA0F8CB" w:rsidR="008E6385" w:rsidRPr="008B7947" w:rsidRDefault="008E6385" w:rsidP="00DE5F5D">
      <w:pPr>
        <w:pStyle w:val="NormalnyWeb"/>
        <w:jc w:val="center"/>
        <w:rPr>
          <w:rFonts w:asciiTheme="minorHAnsi" w:hAnsiTheme="minorHAnsi" w:cstheme="minorHAnsi"/>
          <w:b/>
        </w:rPr>
      </w:pPr>
    </w:p>
    <w:p w14:paraId="23A8F64A" w14:textId="54A5D48C" w:rsidR="00AC6E0B" w:rsidRPr="008B7947" w:rsidRDefault="00AC6E0B" w:rsidP="00C47EF3">
      <w:pPr>
        <w:pStyle w:val="NormalnyWeb"/>
        <w:jc w:val="center"/>
        <w:rPr>
          <w:rFonts w:asciiTheme="minorHAnsi" w:hAnsiTheme="minorHAnsi" w:cstheme="minorHAnsi"/>
        </w:rPr>
      </w:pPr>
    </w:p>
    <w:p w14:paraId="4A7E9328" w14:textId="627D9336" w:rsidR="18F1B0F0" w:rsidRPr="00AA444F" w:rsidRDefault="18F1B0F0" w:rsidP="000B6480">
      <w:pPr>
        <w:spacing w:line="360" w:lineRule="auto"/>
        <w:jc w:val="right"/>
        <w:rPr>
          <w:rFonts w:ascii="Arial" w:eastAsia="Arial" w:hAnsi="Arial" w:cs="Arial"/>
          <w:color w:val="404040" w:themeColor="text1" w:themeTint="BF"/>
        </w:rPr>
      </w:pPr>
    </w:p>
    <w:sectPr w:rsidR="18F1B0F0" w:rsidRPr="00AA444F" w:rsidSect="000B6480">
      <w:footerReference w:type="default" r:id="rId12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65D0E" w14:textId="77777777" w:rsidR="00507590" w:rsidRDefault="00507590">
      <w:pPr>
        <w:spacing w:after="0" w:line="240" w:lineRule="auto"/>
      </w:pPr>
      <w:r>
        <w:separator/>
      </w:r>
    </w:p>
  </w:endnote>
  <w:endnote w:type="continuationSeparator" w:id="0">
    <w:p w14:paraId="6456FD19" w14:textId="77777777" w:rsidR="00507590" w:rsidRDefault="0050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640455"/>
      <w:docPartObj>
        <w:docPartGallery w:val="Page Numbers (Bottom of Page)"/>
        <w:docPartUnique/>
      </w:docPartObj>
    </w:sdtPr>
    <w:sdtEndPr/>
    <w:sdtContent>
      <w:p w14:paraId="6A9B8360" w14:textId="3A623041" w:rsidR="00721F1C" w:rsidRDefault="00721F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9E">
          <w:rPr>
            <w:noProof/>
          </w:rPr>
          <w:t>1</w:t>
        </w:r>
        <w:r>
          <w:fldChar w:fldCharType="end"/>
        </w:r>
      </w:p>
    </w:sdtContent>
  </w:sdt>
  <w:p w14:paraId="34143851" w14:textId="77777777" w:rsidR="00721F1C" w:rsidRDefault="00721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5F83" w14:textId="77777777" w:rsidR="00507590" w:rsidRDefault="00507590">
      <w:pPr>
        <w:spacing w:after="0" w:line="240" w:lineRule="auto"/>
      </w:pPr>
      <w:r>
        <w:separator/>
      </w:r>
    </w:p>
  </w:footnote>
  <w:footnote w:type="continuationSeparator" w:id="0">
    <w:p w14:paraId="479E09E1" w14:textId="77777777" w:rsidR="00507590" w:rsidRDefault="0050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A"/>
    <w:multiLevelType w:val="multilevel"/>
    <w:tmpl w:val="AEBC11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353FA"/>
    <w:multiLevelType w:val="multilevel"/>
    <w:tmpl w:val="D08E4F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35225"/>
    <w:multiLevelType w:val="multilevel"/>
    <w:tmpl w:val="3D22C9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B05F5"/>
    <w:multiLevelType w:val="multilevel"/>
    <w:tmpl w:val="62D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686668"/>
    <w:multiLevelType w:val="multilevel"/>
    <w:tmpl w:val="C96CA7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D2BDB"/>
    <w:multiLevelType w:val="multilevel"/>
    <w:tmpl w:val="E5D82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A471ED"/>
    <w:multiLevelType w:val="multilevel"/>
    <w:tmpl w:val="E4A2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0515C"/>
    <w:multiLevelType w:val="multilevel"/>
    <w:tmpl w:val="E3E423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79674C"/>
    <w:multiLevelType w:val="multilevel"/>
    <w:tmpl w:val="53F8B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83206"/>
    <w:multiLevelType w:val="multilevel"/>
    <w:tmpl w:val="9C060C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38108E"/>
    <w:multiLevelType w:val="multilevel"/>
    <w:tmpl w:val="A3CC6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2D215B"/>
    <w:multiLevelType w:val="multilevel"/>
    <w:tmpl w:val="9BCE9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9D7F52"/>
    <w:multiLevelType w:val="multilevel"/>
    <w:tmpl w:val="7354E6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A462BF"/>
    <w:multiLevelType w:val="multilevel"/>
    <w:tmpl w:val="0B5292D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8075C9"/>
    <w:multiLevelType w:val="multilevel"/>
    <w:tmpl w:val="DCD4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834DC2"/>
    <w:multiLevelType w:val="multilevel"/>
    <w:tmpl w:val="B5DEB7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D201CD"/>
    <w:multiLevelType w:val="multilevel"/>
    <w:tmpl w:val="8C10E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BE2CD3"/>
    <w:multiLevelType w:val="multilevel"/>
    <w:tmpl w:val="87C62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325D12"/>
    <w:multiLevelType w:val="multilevel"/>
    <w:tmpl w:val="9CEEE8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6D15A3"/>
    <w:multiLevelType w:val="multilevel"/>
    <w:tmpl w:val="7E7CC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306D75"/>
    <w:multiLevelType w:val="multilevel"/>
    <w:tmpl w:val="D3166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226D2C"/>
    <w:multiLevelType w:val="multilevel"/>
    <w:tmpl w:val="1ECA8C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861549"/>
    <w:multiLevelType w:val="multilevel"/>
    <w:tmpl w:val="6C94C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DA7FED"/>
    <w:multiLevelType w:val="multilevel"/>
    <w:tmpl w:val="0F849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D10827"/>
    <w:multiLevelType w:val="multilevel"/>
    <w:tmpl w:val="E93C5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5824CE"/>
    <w:multiLevelType w:val="multilevel"/>
    <w:tmpl w:val="748A6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A51F44"/>
    <w:multiLevelType w:val="multilevel"/>
    <w:tmpl w:val="5E545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8A7541"/>
    <w:multiLevelType w:val="multilevel"/>
    <w:tmpl w:val="4566B7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A55986"/>
    <w:multiLevelType w:val="multilevel"/>
    <w:tmpl w:val="5EE25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FF4BB8"/>
    <w:multiLevelType w:val="multilevel"/>
    <w:tmpl w:val="45AEAC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7C61DA"/>
    <w:multiLevelType w:val="multilevel"/>
    <w:tmpl w:val="7BECB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710FFB"/>
    <w:multiLevelType w:val="multilevel"/>
    <w:tmpl w:val="6CD803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A875C6"/>
    <w:multiLevelType w:val="multilevel"/>
    <w:tmpl w:val="190E73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E577BA"/>
    <w:multiLevelType w:val="multilevel"/>
    <w:tmpl w:val="D0C6E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D03F75"/>
    <w:multiLevelType w:val="multilevel"/>
    <w:tmpl w:val="3A1241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D279DF"/>
    <w:multiLevelType w:val="multilevel"/>
    <w:tmpl w:val="88768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4D537D"/>
    <w:multiLevelType w:val="multilevel"/>
    <w:tmpl w:val="416AE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6F678C"/>
    <w:multiLevelType w:val="multilevel"/>
    <w:tmpl w:val="7026B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854420"/>
    <w:multiLevelType w:val="multilevel"/>
    <w:tmpl w:val="9EDE35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B33974"/>
    <w:multiLevelType w:val="multilevel"/>
    <w:tmpl w:val="AD2E3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8663E1"/>
    <w:multiLevelType w:val="multilevel"/>
    <w:tmpl w:val="D2524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BC7435"/>
    <w:multiLevelType w:val="multilevel"/>
    <w:tmpl w:val="F0569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E510DA"/>
    <w:multiLevelType w:val="multilevel"/>
    <w:tmpl w:val="69CE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606BF8"/>
    <w:multiLevelType w:val="multilevel"/>
    <w:tmpl w:val="CE4C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761F93"/>
    <w:multiLevelType w:val="multilevel"/>
    <w:tmpl w:val="06A0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8F7DE2"/>
    <w:multiLevelType w:val="multilevel"/>
    <w:tmpl w:val="20327F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6566BB3"/>
    <w:multiLevelType w:val="multilevel"/>
    <w:tmpl w:val="F3EC6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E46047"/>
    <w:multiLevelType w:val="multilevel"/>
    <w:tmpl w:val="C15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C4506EE"/>
    <w:multiLevelType w:val="multilevel"/>
    <w:tmpl w:val="0F2EA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6807F3"/>
    <w:multiLevelType w:val="multilevel"/>
    <w:tmpl w:val="4654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880402"/>
    <w:multiLevelType w:val="multilevel"/>
    <w:tmpl w:val="E95ABA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E617BB"/>
    <w:multiLevelType w:val="multilevel"/>
    <w:tmpl w:val="2DEC1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ED207D"/>
    <w:multiLevelType w:val="multilevel"/>
    <w:tmpl w:val="3F8423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E965B0"/>
    <w:multiLevelType w:val="multilevel"/>
    <w:tmpl w:val="966881A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2E62A1"/>
    <w:multiLevelType w:val="multilevel"/>
    <w:tmpl w:val="14C2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3C0861"/>
    <w:multiLevelType w:val="multilevel"/>
    <w:tmpl w:val="64A2F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56383A"/>
    <w:multiLevelType w:val="multilevel"/>
    <w:tmpl w:val="942A7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280ED5"/>
    <w:multiLevelType w:val="multilevel"/>
    <w:tmpl w:val="55B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4CD314B"/>
    <w:multiLevelType w:val="multilevel"/>
    <w:tmpl w:val="8F0A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5CE2BEF"/>
    <w:multiLevelType w:val="multilevel"/>
    <w:tmpl w:val="35B24D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976EF8"/>
    <w:multiLevelType w:val="multilevel"/>
    <w:tmpl w:val="CE24B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5A2811"/>
    <w:multiLevelType w:val="multilevel"/>
    <w:tmpl w:val="78E43D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E931B6B"/>
    <w:multiLevelType w:val="multilevel"/>
    <w:tmpl w:val="288E4C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26"/>
  </w:num>
  <w:num w:numId="3">
    <w:abstractNumId w:val="51"/>
  </w:num>
  <w:num w:numId="4">
    <w:abstractNumId w:val="0"/>
  </w:num>
  <w:num w:numId="5">
    <w:abstractNumId w:val="12"/>
  </w:num>
  <w:num w:numId="6">
    <w:abstractNumId w:val="59"/>
  </w:num>
  <w:num w:numId="7">
    <w:abstractNumId w:val="7"/>
  </w:num>
  <w:num w:numId="8">
    <w:abstractNumId w:val="13"/>
  </w:num>
  <w:num w:numId="9">
    <w:abstractNumId w:val="53"/>
  </w:num>
  <w:num w:numId="10">
    <w:abstractNumId w:val="3"/>
  </w:num>
  <w:num w:numId="11">
    <w:abstractNumId w:val="28"/>
  </w:num>
  <w:num w:numId="12">
    <w:abstractNumId w:val="8"/>
  </w:num>
  <w:num w:numId="13">
    <w:abstractNumId w:val="40"/>
  </w:num>
  <w:num w:numId="14">
    <w:abstractNumId w:val="19"/>
  </w:num>
  <w:num w:numId="15">
    <w:abstractNumId w:val="24"/>
  </w:num>
  <w:num w:numId="16">
    <w:abstractNumId w:val="33"/>
  </w:num>
  <w:num w:numId="17">
    <w:abstractNumId w:val="32"/>
  </w:num>
  <w:num w:numId="18">
    <w:abstractNumId w:val="54"/>
  </w:num>
  <w:num w:numId="19">
    <w:abstractNumId w:val="5"/>
  </w:num>
  <w:num w:numId="20">
    <w:abstractNumId w:val="61"/>
  </w:num>
  <w:num w:numId="21">
    <w:abstractNumId w:val="10"/>
  </w:num>
  <w:num w:numId="22">
    <w:abstractNumId w:val="42"/>
  </w:num>
  <w:num w:numId="23">
    <w:abstractNumId w:val="9"/>
  </w:num>
  <w:num w:numId="24">
    <w:abstractNumId w:val="2"/>
  </w:num>
  <w:num w:numId="25">
    <w:abstractNumId w:val="39"/>
  </w:num>
  <w:num w:numId="26">
    <w:abstractNumId w:val="43"/>
  </w:num>
  <w:num w:numId="27">
    <w:abstractNumId w:val="30"/>
  </w:num>
  <w:num w:numId="28">
    <w:abstractNumId w:val="34"/>
  </w:num>
  <w:num w:numId="29">
    <w:abstractNumId w:val="4"/>
  </w:num>
  <w:num w:numId="30">
    <w:abstractNumId w:val="29"/>
  </w:num>
  <w:num w:numId="31">
    <w:abstractNumId w:val="11"/>
  </w:num>
  <w:num w:numId="32">
    <w:abstractNumId w:val="35"/>
  </w:num>
  <w:num w:numId="33">
    <w:abstractNumId w:val="20"/>
  </w:num>
  <w:num w:numId="34">
    <w:abstractNumId w:val="60"/>
  </w:num>
  <w:num w:numId="35">
    <w:abstractNumId w:val="56"/>
  </w:num>
  <w:num w:numId="36">
    <w:abstractNumId w:val="27"/>
  </w:num>
  <w:num w:numId="37">
    <w:abstractNumId w:val="38"/>
  </w:num>
  <w:num w:numId="38">
    <w:abstractNumId w:val="55"/>
  </w:num>
  <w:num w:numId="39">
    <w:abstractNumId w:val="62"/>
  </w:num>
  <w:num w:numId="40">
    <w:abstractNumId w:val="6"/>
  </w:num>
  <w:num w:numId="41">
    <w:abstractNumId w:val="23"/>
  </w:num>
  <w:num w:numId="42">
    <w:abstractNumId w:val="17"/>
  </w:num>
  <w:num w:numId="43">
    <w:abstractNumId w:val="48"/>
  </w:num>
  <w:num w:numId="44">
    <w:abstractNumId w:val="57"/>
  </w:num>
  <w:num w:numId="45">
    <w:abstractNumId w:val="47"/>
  </w:num>
  <w:num w:numId="46">
    <w:abstractNumId w:val="37"/>
  </w:num>
  <w:num w:numId="47">
    <w:abstractNumId w:val="46"/>
  </w:num>
  <w:num w:numId="48">
    <w:abstractNumId w:val="21"/>
  </w:num>
  <w:num w:numId="49">
    <w:abstractNumId w:val="16"/>
  </w:num>
  <w:num w:numId="50">
    <w:abstractNumId w:val="45"/>
  </w:num>
  <w:num w:numId="51">
    <w:abstractNumId w:val="44"/>
  </w:num>
  <w:num w:numId="52">
    <w:abstractNumId w:val="41"/>
  </w:num>
  <w:num w:numId="53">
    <w:abstractNumId w:val="31"/>
  </w:num>
  <w:num w:numId="54">
    <w:abstractNumId w:val="22"/>
  </w:num>
  <w:num w:numId="55">
    <w:abstractNumId w:val="52"/>
  </w:num>
  <w:num w:numId="56">
    <w:abstractNumId w:val="15"/>
  </w:num>
  <w:num w:numId="57">
    <w:abstractNumId w:val="1"/>
  </w:num>
  <w:num w:numId="58">
    <w:abstractNumId w:val="18"/>
  </w:num>
  <w:num w:numId="59">
    <w:abstractNumId w:val="50"/>
  </w:num>
  <w:num w:numId="60">
    <w:abstractNumId w:val="14"/>
  </w:num>
  <w:num w:numId="61">
    <w:abstractNumId w:val="25"/>
  </w:num>
  <w:num w:numId="62">
    <w:abstractNumId w:val="36"/>
  </w:num>
  <w:num w:numId="63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25338"/>
    <w:rsid w:val="00044A3A"/>
    <w:rsid w:val="000B5E1D"/>
    <w:rsid w:val="000B6480"/>
    <w:rsid w:val="001027F8"/>
    <w:rsid w:val="003C27FD"/>
    <w:rsid w:val="00426F10"/>
    <w:rsid w:val="00430F45"/>
    <w:rsid w:val="00433B27"/>
    <w:rsid w:val="00507590"/>
    <w:rsid w:val="005A4DC5"/>
    <w:rsid w:val="005C3B36"/>
    <w:rsid w:val="00721F1C"/>
    <w:rsid w:val="00782487"/>
    <w:rsid w:val="00843EC8"/>
    <w:rsid w:val="008B7947"/>
    <w:rsid w:val="008E6385"/>
    <w:rsid w:val="009B54AA"/>
    <w:rsid w:val="009D4CB8"/>
    <w:rsid w:val="00A97A9E"/>
    <w:rsid w:val="00AA2CAA"/>
    <w:rsid w:val="00AA444F"/>
    <w:rsid w:val="00AC6E0B"/>
    <w:rsid w:val="00BE2455"/>
    <w:rsid w:val="00C47EF3"/>
    <w:rsid w:val="00D67063"/>
    <w:rsid w:val="00DD335E"/>
    <w:rsid w:val="00DE5F5D"/>
    <w:rsid w:val="00F57BC1"/>
    <w:rsid w:val="0490BA71"/>
    <w:rsid w:val="18F1B0F0"/>
    <w:rsid w:val="1BCAB214"/>
    <w:rsid w:val="1C825338"/>
    <w:rsid w:val="2A208325"/>
    <w:rsid w:val="495FEBDB"/>
    <w:rsid w:val="5637DF44"/>
    <w:rsid w:val="790ECA78"/>
    <w:rsid w:val="7FAE8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825338"/>
  <w15:chartTrackingRefBased/>
  <w15:docId w15:val="{9261B09E-D657-4E37-8776-4C7DD656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Zwykatabela4">
    <w:name w:val="Plain Table 4"/>
    <w:basedOn w:val="Standardowy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7F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1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Props1.xml><?xml version="1.0" encoding="utf-8"?>
<ds:datastoreItem xmlns:ds="http://schemas.openxmlformats.org/officeDocument/2006/customXml" ds:itemID="{B58AABA6-94C8-48CA-B329-4FEF7BE7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C50EA-FE4C-420F-A75F-47FF07ADD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90B20-FFF9-4127-BE9B-53CA4A89A59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75aa405c-811b-4ade-bcd5-ec554dc5fa3c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577cfdd-7ad8-4c11-aa22-a496de1e0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Wrona</dc:creator>
  <cp:keywords/>
  <dc:description/>
  <cp:lastModifiedBy>Anna Wrona</cp:lastModifiedBy>
  <cp:revision>4</cp:revision>
  <dcterms:created xsi:type="dcterms:W3CDTF">2025-04-01T10:37:00Z</dcterms:created>
  <dcterms:modified xsi:type="dcterms:W3CDTF">2025-04-08T11:19:00Z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